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89" w:rsidRPr="00243740" w:rsidRDefault="00D67889" w:rsidP="00D67889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Cambria" w:hAnsi="Cambria" w:cs="Times New Roman"/>
          <w:b/>
          <w:sz w:val="23"/>
          <w:szCs w:val="23"/>
        </w:rPr>
        <w:t>Структура очерков по истории сел и деревень</w:t>
      </w:r>
      <w:r w:rsidRPr="00243740">
        <w:rPr>
          <w:rStyle w:val="a6"/>
          <w:rFonts w:ascii="Times New Roman" w:hAnsi="Times New Roman" w:cs="Times New Roman"/>
          <w:sz w:val="23"/>
          <w:szCs w:val="23"/>
        </w:rPr>
        <w:footnoteReference w:customMarkFollows="1" w:id="1"/>
        <w:t>*</w:t>
      </w:r>
    </w:p>
    <w:p w:rsidR="00D67889" w:rsidRPr="00243740" w:rsidRDefault="00D67889" w:rsidP="00D6788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административно-территориальная принадлежность (республика, область, край, район)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географическое положение (на реке, автомобильной или железной дороге; расстояние до районного центра, близлежащей ж.-д. станции или пристани).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численность населения по последней переписи, национальный состав.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время основания населенного пункта: исторические легенды, предания, архивные и иные документы, связанные с этим событием, а также с последующей историей поселения; основные сельские родословные (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шеджэре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происхождение названия (этимология) населенного пункта, а также наиболее примечательных географических объектов в его пределах и окрестностях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численность, сословный, конфессиональный и национальный состав населения в исторической динамике (по писцовым описаниям и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ландратским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 книгам (если сохранились), государственным ревизиям 1719–1858 гг., Всеобщей переписи населения 1897 г., переписям 1926, 1939, 1959, 1970, 1979, 1989, 2002 гг.).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занятия и хозяйственная деятельность населения в историческом аспекте (земледелие, животноводство, охота, рыболовство, промыслы, торговля, отходничество и др.).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 xml:space="preserve">история сельских общин (земельные наделы, усадебное устройство, планировка, народное зодчество, местное самоуправление) и приходов (история строительства мечетей и церквей (для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кряшенских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 xml:space="preserve">, русских и других селений), наличие </w:t>
      </w:r>
      <w:proofErr w:type="spellStart"/>
      <w:r w:rsidRPr="00243740">
        <w:rPr>
          <w:rFonts w:ascii="Times New Roman" w:hAnsi="Times New Roman" w:cs="Times New Roman"/>
          <w:sz w:val="23"/>
          <w:szCs w:val="23"/>
        </w:rPr>
        <w:t>мектебе</w:t>
      </w:r>
      <w:proofErr w:type="spellEnd"/>
      <w:r w:rsidRPr="00243740">
        <w:rPr>
          <w:rFonts w:ascii="Times New Roman" w:hAnsi="Times New Roman" w:cs="Times New Roman"/>
          <w:sz w:val="23"/>
          <w:szCs w:val="23"/>
        </w:rPr>
        <w:t>, медресе и других конфессиональных школ, сведения о священнослужителях).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события, явления и люди, оказавшие заметное влияние на историко-культурное развитие конкретных поселений, а также в целом региона в дореволюционный период; памятники духовной культуры и фольклора этого времени;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история населенного пункта в советский период (Гражданская война, НЭП, коллективизация, раскулачивание крестьянства, культурная революция, закрытие мечетей, создание МТС и т.п.; село в годы Великой Отечественной войны; послевоенное восстановление сельского хозяйства; особенности социально-экономи</w:t>
      </w:r>
      <w:r>
        <w:rPr>
          <w:rFonts w:ascii="Times New Roman" w:hAnsi="Times New Roman" w:cs="Times New Roman"/>
          <w:sz w:val="23"/>
          <w:szCs w:val="23"/>
        </w:rPr>
        <w:softHyphen/>
      </w:r>
      <w:r w:rsidRPr="00243740">
        <w:rPr>
          <w:rFonts w:ascii="Times New Roman" w:hAnsi="Times New Roman" w:cs="Times New Roman"/>
          <w:sz w:val="23"/>
          <w:szCs w:val="23"/>
        </w:rPr>
        <w:t>ческого и культурного развития в 1950–1980 гг.)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современное экономическое и социально-культурное состояние сел и деревень (наличие школ, детских садов, домов культуры, музеев, объектов здравоохранения, культовых учреждений; преподавание татарского языка в учебных заведениях и др.)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историко-культурное наследие (памятники архитектуры, монументы павшим в годы Великой Отечественной войны и др.; образцы устного народного творчества (легенды, песни, частушки и пр.), связанные с историей конкретного поселения).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персоналии (выдающиеся общественные и государственные деятели, предприниматели, купцы, благотворители, ученые, писатели, поэты, музыканты, художники, журналисты, герои войны и труда, организаторы сельскохозяйственного производства и др.);</w:t>
      </w:r>
    </w:p>
    <w:p w:rsidR="00D67889" w:rsidRPr="00243740" w:rsidRDefault="00D67889" w:rsidP="00D67889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3"/>
          <w:szCs w:val="23"/>
        </w:rPr>
      </w:pPr>
      <w:r w:rsidRPr="00243740">
        <w:rPr>
          <w:rFonts w:ascii="Times New Roman" w:hAnsi="Times New Roman" w:cs="Times New Roman"/>
          <w:sz w:val="23"/>
          <w:szCs w:val="23"/>
        </w:rPr>
        <w:t>Основная литература и список источников.</w:t>
      </w:r>
    </w:p>
    <w:p w:rsidR="00E35B93" w:rsidRDefault="00E35B93">
      <w:bookmarkStart w:id="0" w:name="_GoBack"/>
      <w:bookmarkEnd w:id="0"/>
    </w:p>
    <w:sectPr w:rsidR="00E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2A" w:rsidRDefault="0003142A" w:rsidP="00D67889">
      <w:pPr>
        <w:spacing w:after="0" w:line="240" w:lineRule="auto"/>
      </w:pPr>
      <w:r>
        <w:separator/>
      </w:r>
    </w:p>
  </w:endnote>
  <w:endnote w:type="continuationSeparator" w:id="0">
    <w:p w:rsidR="0003142A" w:rsidRDefault="0003142A" w:rsidP="00D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2A" w:rsidRDefault="0003142A" w:rsidP="00D67889">
      <w:pPr>
        <w:spacing w:after="0" w:line="240" w:lineRule="auto"/>
      </w:pPr>
      <w:r>
        <w:separator/>
      </w:r>
    </w:p>
  </w:footnote>
  <w:footnote w:type="continuationSeparator" w:id="0">
    <w:p w:rsidR="0003142A" w:rsidRDefault="0003142A" w:rsidP="00D67889">
      <w:pPr>
        <w:spacing w:after="0" w:line="240" w:lineRule="auto"/>
      </w:pPr>
      <w:r>
        <w:continuationSeparator/>
      </w:r>
    </w:p>
  </w:footnote>
  <w:footnote w:id="1">
    <w:p w:rsidR="00D67889" w:rsidRDefault="00D67889" w:rsidP="00D67889">
      <w:pPr>
        <w:pStyle w:val="a3"/>
        <w:ind w:firstLine="397"/>
      </w:pPr>
      <w:r w:rsidRPr="00D11F41">
        <w:rPr>
          <w:rStyle w:val="a6"/>
          <w:rFonts w:ascii="Times New Roman" w:hAnsi="Times New Roman" w:cs="Times New Roman"/>
        </w:rPr>
        <w:t>*</w:t>
      </w:r>
      <w:r>
        <w:t xml:space="preserve"> </w:t>
      </w:r>
      <w:r w:rsidRPr="00965A81">
        <w:rPr>
          <w:rFonts w:ascii="Times New Roman" w:hAnsi="Times New Roman" w:cs="Times New Roman"/>
        </w:rPr>
        <w:t xml:space="preserve">Документ подготовлен Институтом истории им. </w:t>
      </w:r>
      <w:proofErr w:type="spellStart"/>
      <w:r w:rsidRPr="00965A81">
        <w:rPr>
          <w:rFonts w:ascii="Times New Roman" w:hAnsi="Times New Roman" w:cs="Times New Roman"/>
        </w:rPr>
        <w:t>Ш.Марджани</w:t>
      </w:r>
      <w:proofErr w:type="spellEnd"/>
      <w:r w:rsidRPr="00965A81">
        <w:rPr>
          <w:rFonts w:ascii="Times New Roman" w:hAnsi="Times New Roman" w:cs="Times New Roman"/>
        </w:rPr>
        <w:t xml:space="preserve"> АН РТ.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E265A"/>
    <w:multiLevelType w:val="hybridMultilevel"/>
    <w:tmpl w:val="8444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89"/>
    <w:rsid w:val="0003142A"/>
    <w:rsid w:val="00D67889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48C0-EEE0-4E0E-909F-122865D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678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7889"/>
    <w:rPr>
      <w:sz w:val="20"/>
      <w:szCs w:val="20"/>
    </w:rPr>
  </w:style>
  <w:style w:type="paragraph" w:styleId="a5">
    <w:name w:val="List Paragraph"/>
    <w:basedOn w:val="a"/>
    <w:uiPriority w:val="99"/>
    <w:qFormat/>
    <w:rsid w:val="00D67889"/>
    <w:pPr>
      <w:ind w:left="720"/>
      <w:contextualSpacing/>
    </w:pPr>
  </w:style>
  <w:style w:type="character" w:styleId="a6">
    <w:name w:val="footnote reference"/>
    <w:basedOn w:val="a0"/>
    <w:semiHidden/>
    <w:unhideWhenUsed/>
    <w:rsid w:val="00D67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2016-12-16T09:30:00Z</dcterms:created>
  <dcterms:modified xsi:type="dcterms:W3CDTF">2016-12-16T09:31:00Z</dcterms:modified>
</cp:coreProperties>
</file>