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>
      <w:pPr>
        <w:pStyle w:val="Normal"/>
        <w:pBdr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IX Вне</w:t>
      </w:r>
      <w:r>
        <w:rPr>
          <w:b/>
          <w:sz w:val="28"/>
          <w:szCs w:val="28"/>
        </w:rPr>
        <w:t xml:space="preserve">очередного съезда </w:t>
      </w:r>
    </w:p>
    <w:p>
      <w:pPr>
        <w:pStyle w:val="Normal"/>
        <w:pBdr/>
        <w:jc w:val="center"/>
        <w:rPr>
          <w:b/>
          <w:b/>
          <w:color w:val="000000"/>
          <w:sz w:val="28"/>
          <w:szCs w:val="28"/>
        </w:rPr>
      </w:pPr>
      <w:bookmarkStart w:id="0" w:name="_Hlk18000946"/>
      <w:bookmarkEnd w:id="0"/>
      <w:r>
        <w:rPr>
          <w:b/>
          <w:sz w:val="28"/>
          <w:szCs w:val="28"/>
        </w:rPr>
        <w:t>Всемирного форума татарской молодежи</w:t>
      </w:r>
    </w:p>
    <w:p>
      <w:pPr>
        <w:pStyle w:val="Normal"/>
        <w:pBdr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jc w:val="both"/>
        <w:rPr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Мы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делегаты IX Внеочередного съезда </w:t>
      </w:r>
      <w:bookmarkStart w:id="1" w:name="_Hlk18000879"/>
      <w:r>
        <w:rPr>
          <w:sz w:val="28"/>
          <w:szCs w:val="28"/>
        </w:rPr>
        <w:t>Всемирного форума татарской молодежи</w:t>
      </w:r>
      <w:bookmarkEnd w:id="1"/>
      <w:r>
        <w:rPr>
          <w:sz w:val="28"/>
          <w:szCs w:val="28"/>
        </w:rPr>
        <w:t>, понимая важность сохранения в сегодняшнем глобальном мире национальной идентичности, родного языка, системы национального образования, исторического самосознания, культуры и традиций, признавая татарскую семью как основу развития нации, духовные ценности ислама как важный фактор национального самоопределения и воспитания нравственной и совершенной личности, и учитывая необходимость соблюдения одинаковых прав в вопросах межнациональных отношений</w:t>
      </w:r>
      <w:r>
        <w:rPr>
          <w:color w:val="000000"/>
          <w:sz w:val="28"/>
          <w:szCs w:val="28"/>
        </w:rPr>
        <w:t>,</w:t>
      </w:r>
    </w:p>
    <w:p>
      <w:pPr>
        <w:pStyle w:val="Normal"/>
        <w:pBdr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jc w:val="both"/>
        <w:rPr/>
      </w:pPr>
      <w:r>
        <w:rPr>
          <w:b/>
          <w:color w:val="000000"/>
          <w:sz w:val="28"/>
          <w:szCs w:val="28"/>
        </w:rPr>
        <w:t>РЕШИЛИ</w:t>
      </w:r>
      <w:r>
        <w:rPr>
          <w:b/>
          <w:color w:val="000000"/>
          <w:sz w:val="28"/>
          <w:szCs w:val="28"/>
        </w:rPr>
        <w:t xml:space="preserve">: </w:t>
      </w:r>
    </w:p>
    <w:p>
      <w:pPr>
        <w:pStyle w:val="Normal"/>
        <w:pBdr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pBdr/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продолжить работу по повышению эффективности деятельности Всемирного Форума татарской молодежи, его филиалов на местах, содействовать созданию новых татарских молодежных общественных организаций,</w:t>
      </w:r>
    </w:p>
    <w:p>
      <w:pPr>
        <w:pStyle w:val="Normal"/>
        <w:numPr>
          <w:ilvl w:val="0"/>
          <w:numId w:val="1"/>
        </w:numPr>
        <w:pBdr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важным долгом перед молодежными организациями подготовку к кампании Всероссийской переписи населения 2020 года, призвать татарскую молодежь принять активное участие в ее проведении и стать переписчиками, вести объяснительные беседы в целях учета единой татарской нации по субэтническим группам и предотвращения фальсификации данных, </w:t>
      </w:r>
    </w:p>
    <w:p>
      <w:pPr>
        <w:pStyle w:val="Normal"/>
        <w:numPr>
          <w:ilvl w:val="0"/>
          <w:numId w:val="1"/>
        </w:numPr>
        <w:pBdr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организации мероприятий празднования 100-летия Татарской Автономной Советской Социалистической Республики, </w:t>
      </w:r>
    </w:p>
    <w:p>
      <w:pPr>
        <w:pStyle w:val="Normal"/>
        <w:numPr>
          <w:ilvl w:val="0"/>
          <w:numId w:val="1"/>
        </w:numPr>
        <w:pBdr/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продолжить деятельность по участию татарских молодежных организаций в конкурсах для получения грантов;  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поддержать Государственного Советника Республики Татарстан Минтимера Шаймиева в намерении открыть полилингвальные школы и высказываться за организацию таких школ по примеру Нефтекамска в Уфе и других районах массового проживания татар в Башкортостане,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развития в Интернете татароязычной информации в свободном доступе, призывать татарскую молодежь писать для Татарской Википедии</w:t>
      </w:r>
      <w:r>
        <w:rPr>
          <w:color w:val="000000"/>
          <w:sz w:val="28"/>
          <w:szCs w:val="28"/>
        </w:rPr>
        <w:t>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продолжить реализацию центра современной татарской культуры в г. Казани</w:t>
      </w:r>
      <w:r>
        <w:rPr>
          <w:color w:val="000000"/>
          <w:sz w:val="28"/>
          <w:szCs w:val="28"/>
        </w:rPr>
        <w:t>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сделать реестр татарских исторических памятников в Российской Федерации и за рубежом, вести деятельность по их сохранению</w:t>
      </w:r>
      <w:r>
        <w:rPr>
          <w:color w:val="000000"/>
          <w:sz w:val="28"/>
          <w:szCs w:val="28"/>
        </w:rPr>
        <w:t>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/>
      </w:pPr>
      <w:r>
        <w:rPr>
          <w:sz w:val="28"/>
          <w:szCs w:val="28"/>
        </w:rPr>
        <w:t xml:space="preserve">высказывать за строительство Джами-мечетей в </w:t>
      </w:r>
      <w:r>
        <w:rPr>
          <w:color w:val="000000"/>
          <w:sz w:val="28"/>
          <w:szCs w:val="28"/>
        </w:rPr>
        <w:t>Екатеринбурге, Калининград</w:t>
      </w:r>
      <w:r>
        <w:rPr>
          <w:sz w:val="28"/>
          <w:szCs w:val="28"/>
        </w:rPr>
        <w:t>е и</w:t>
      </w:r>
      <w:r>
        <w:rPr>
          <w:color w:val="000000"/>
          <w:sz w:val="28"/>
          <w:szCs w:val="28"/>
        </w:rPr>
        <w:t xml:space="preserve"> других регионах,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поддерживать </w:t>
      </w:r>
      <w:bookmarkStart w:id="2" w:name="_Hlk18403088"/>
      <w:r>
        <w:rPr>
          <w:sz w:val="28"/>
          <w:szCs w:val="28"/>
        </w:rPr>
        <w:t>оцифровку культурного наследия татар</w:t>
      </w:r>
      <w:bookmarkEnd w:id="2"/>
      <w:r>
        <w:rPr>
          <w:color w:val="000000"/>
          <w:sz w:val="28"/>
          <w:szCs w:val="28"/>
        </w:rPr>
        <w:t>,</w:t>
      </w:r>
    </w:p>
    <w:p>
      <w:pPr>
        <w:pStyle w:val="Normal"/>
        <w:numPr>
          <w:ilvl w:val="0"/>
          <w:numId w:val="1"/>
        </w:numPr>
        <w:pBdr/>
        <w:tabs>
          <w:tab w:val="left" w:pos="1134" w:leader="none"/>
        </w:tabs>
        <w:ind w:hanging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перевести на онлайн-платформы процессы реализации проектов татарскими молодёжными организациями,</w:t>
      </w:r>
    </w:p>
    <w:p>
      <w:pPr>
        <w:pStyle w:val="ListParagraph"/>
        <w:numPr>
          <w:ilvl w:val="0"/>
          <w:numId w:val="1"/>
        </w:numPr>
        <w:pBdr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ра</w:t>
      </w:r>
      <w:r>
        <w:rPr>
          <w:sz w:val="28"/>
          <w:szCs w:val="28"/>
        </w:rPr>
        <w:t xml:space="preserve">звития образования на татарском языке </w:t>
      </w:r>
      <w:r>
        <w:rPr>
          <w:sz w:val="28"/>
          <w:szCs w:val="28"/>
        </w:rPr>
        <w:t>рекомендовать министерству образования РТ</w:t>
      </w:r>
      <w:r>
        <w:rPr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реализовать все варианты новых учебных планов по предмету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«Родной язык»</w:t>
      </w:r>
      <w:r>
        <w:rPr>
          <w:color w:val="000000"/>
          <w:sz w:val="28"/>
          <w:szCs w:val="28"/>
        </w:rPr>
        <w:t xml:space="preserve">; 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реализовать школьные программы по предмету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Государственный язык</w:t>
      </w:r>
      <w:r>
        <w:rPr>
          <w:color w:val="000000"/>
          <w:sz w:val="28"/>
          <w:szCs w:val="28"/>
        </w:rPr>
        <w:t>»;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обеспечить учеников возможностью сдавать экзамены на родном языке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/>
      </w:pPr>
      <w:r>
        <w:rPr>
          <w:sz w:val="28"/>
          <w:szCs w:val="28"/>
        </w:rPr>
        <w:t xml:space="preserve">в целях популяризации родного языка, </w:t>
      </w:r>
      <w:r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дополнительные баллы на Едином государственном экзамене </w:t>
      </w:r>
      <w:r>
        <w:rPr>
          <w:sz w:val="28"/>
          <w:szCs w:val="28"/>
        </w:rPr>
        <w:t>за его использование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реализовать Государственную итоговую аттестацию по предмету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Родной язык</w:t>
      </w:r>
      <w:r>
        <w:rPr>
          <w:color w:val="000000"/>
          <w:sz w:val="28"/>
          <w:szCs w:val="28"/>
        </w:rPr>
        <w:t>»;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реализовать право обучения на родном языке до 11 класса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pBdr/>
        <w:tabs>
          <w:tab w:val="left" w:pos="1134" w:leader="none"/>
        </w:tabs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обеспечить право обучения всех предметов дошкольного, начального, основного и среднего общего образования на родном языке и участвовать в открытии татарских классов в школах, татарских групп в детских садах</w:t>
      </w:r>
      <w:r>
        <w:rPr>
          <w:color w:val="000000"/>
          <w:sz w:val="28"/>
          <w:szCs w:val="28"/>
          <w:lang w:val="tt-RU"/>
        </w:rPr>
        <w:t>;</w:t>
      </w:r>
    </w:p>
    <w:p>
      <w:pPr>
        <w:pStyle w:val="Normal"/>
        <w:pBdr/>
        <w:tabs>
          <w:tab w:val="left" w:pos="1134" w:leader="none"/>
        </w:tabs>
        <w:ind w:left="491" w:hang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поднять вопрос о введения татарского языка как государственного в    обязательную часть учебного плана в Республике Татарстан;</w:t>
      </w:r>
    </w:p>
    <w:p>
      <w:pPr>
        <w:pStyle w:val="Normal"/>
        <w:pBdr/>
        <w:tabs>
          <w:tab w:val="left" w:pos="1134" w:leader="none"/>
        </w:tabs>
        <w:ind w:left="567" w:hanging="0"/>
        <w:jc w:val="both"/>
        <w:rPr/>
      </w:pPr>
      <w:r>
        <w:rPr>
          <w:sz w:val="28"/>
          <w:szCs w:val="28"/>
          <w:lang w:val="tt-RU"/>
        </w:rPr>
        <w:t xml:space="preserve">-  </w:t>
      </w:r>
      <w:r>
        <w:rPr>
          <w:sz w:val="28"/>
          <w:szCs w:val="28"/>
          <w:lang w:val="ru-RU"/>
        </w:rPr>
        <w:t>вве</w:t>
      </w:r>
      <w:r>
        <w:rPr>
          <w:sz w:val="28"/>
          <w:szCs w:val="28"/>
          <w:lang w:val="ru-RU"/>
        </w:rPr>
        <w:t xml:space="preserve">сти </w:t>
      </w:r>
      <w:r>
        <w:rPr>
          <w:sz w:val="28"/>
          <w:szCs w:val="28"/>
          <w:lang w:val="ru-RU"/>
        </w:rPr>
        <w:t>преподавания</w:t>
      </w:r>
      <w:r>
        <w:rPr>
          <w:sz w:val="28"/>
          <w:szCs w:val="28"/>
          <w:lang w:val="tt-RU"/>
        </w:rPr>
        <w:t xml:space="preserve"> татарского языка в регионах и в зарубежных странах.</w:t>
      </w:r>
    </w:p>
    <w:p>
      <w:pPr>
        <w:pStyle w:val="Normal"/>
        <w:pBdr/>
        <w:tabs>
          <w:tab w:val="left" w:pos="1134" w:leader="none"/>
        </w:tabs>
        <w:ind w:left="85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pBdr/>
        <w:tabs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" w:name="_Hlk18350746"/>
      <w:r>
        <w:rPr>
          <w:sz w:val="28"/>
          <w:szCs w:val="28"/>
        </w:rPr>
        <w:t xml:space="preserve">рассмотреть возможность формирования попечительского совета в целях развития проектов Всемирного форума татарской молодежи и последующего принятия решения на </w:t>
      </w:r>
      <w:r>
        <w:rPr>
          <w:sz w:val="28"/>
          <w:szCs w:val="28"/>
          <w:lang w:val="en-US"/>
        </w:rPr>
        <w:t>X</w:t>
      </w:r>
      <w:bookmarkEnd w:id="3"/>
      <w:r>
        <w:rPr>
          <w:sz w:val="28"/>
          <w:szCs w:val="28"/>
        </w:rPr>
        <w:t xml:space="preserve"> Всемирном форуме татарской молодежи.</w:t>
      </w:r>
    </w:p>
    <w:p>
      <w:pPr>
        <w:pStyle w:val="ListParagraph"/>
        <w:numPr>
          <w:ilvl w:val="0"/>
          <w:numId w:val="1"/>
        </w:numPr>
        <w:pBdr/>
        <w:tabs>
          <w:tab w:val="left" w:pos="1134" w:leader="none"/>
        </w:tabs>
        <w:jc w:val="both"/>
        <w:rPr/>
      </w:pP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>нициировать создание ресурсного центра для под</w:t>
      </w:r>
      <w:r>
        <w:rPr>
          <w:sz w:val="28"/>
          <w:szCs w:val="28"/>
          <w:lang w:val="tt-RU"/>
        </w:rPr>
        <w:t>д</w:t>
      </w:r>
      <w:r>
        <w:rPr>
          <w:sz w:val="28"/>
          <w:szCs w:val="28"/>
        </w:rPr>
        <w:t>ержки проектов молодёжных татарских организаций в целях их поддержки и продвижения</w:t>
      </w:r>
      <w:r>
        <w:rPr>
          <w:sz w:val="28"/>
          <w:szCs w:val="28"/>
          <w:lang w:val="tt-RU"/>
        </w:rPr>
        <w:t>.</w:t>
      </w:r>
    </w:p>
    <w:p>
      <w:pPr>
        <w:pStyle w:val="Normal"/>
        <w:pBdr/>
        <w:tabs>
          <w:tab w:val="left" w:pos="1134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tabs>
          <w:tab w:val="left" w:pos="1134" w:leader="none"/>
        </w:tabs>
        <w:ind w:left="426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ОБРА</w:t>
      </w:r>
      <w:r>
        <w:rPr>
          <w:b/>
          <w:bCs/>
          <w:sz w:val="28"/>
          <w:szCs w:val="28"/>
        </w:rPr>
        <w:t>ЩЕНИЕ</w:t>
      </w:r>
    </w:p>
    <w:p>
      <w:pPr>
        <w:pStyle w:val="Normal"/>
        <w:pBdr/>
        <w:tabs>
          <w:tab w:val="left" w:pos="1134" w:leader="none"/>
        </w:tabs>
        <w:ind w:left="426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честь </w:t>
      </w:r>
      <w:bookmarkStart w:id="4" w:name="_Hlk18403120"/>
      <w:bookmarkEnd w:id="4"/>
      <w:r>
        <w:rPr>
          <w:b/>
          <w:bCs/>
          <w:sz w:val="28"/>
          <w:szCs w:val="28"/>
        </w:rPr>
        <w:t xml:space="preserve">памятной даты 1100-летия принятия ислама </w:t>
        <w:br/>
        <w:t>Волжской Булгарией</w:t>
      </w:r>
    </w:p>
    <w:p>
      <w:pPr>
        <w:pStyle w:val="Normal"/>
        <w:pBdr/>
        <w:tabs>
          <w:tab w:val="left" w:pos="1134" w:leader="none"/>
        </w:tabs>
        <w:ind w:left="426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Всемирный форум татарской молодёжи в целях развития исторического самосознания и в честь памятной даты 1100-летия принятия ислама Волжской Булгарией предлагает реализовать следующее: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объявить юбилей Всероссийским праздником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основе отдельных федеральных историко-культурных программ, построить в каждом регионе проживания татар и других наследников булгар юбилейные мечети, выполняющие культурно-образовательную функцию;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том числе построить в Казани мечеть Джами Аль-Кабир, восстановить на прежнем месте в Адмиралтейской слободе Вторую историческую мечеть</w:t>
      </w:r>
      <w:r>
        <w:rPr>
          <w:color w:val="000000"/>
          <w:sz w:val="28"/>
          <w:szCs w:val="28"/>
        </w:rPr>
        <w:t>; построить памятные ме</w:t>
      </w:r>
      <w:r>
        <w:rPr>
          <w:sz w:val="28"/>
          <w:szCs w:val="28"/>
        </w:rPr>
        <w:t>чети в археологических городищах Биляр</w:t>
      </w:r>
      <w:r>
        <w:rPr>
          <w:color w:val="000000"/>
          <w:sz w:val="28"/>
          <w:szCs w:val="28"/>
        </w:rPr>
        <w:t xml:space="preserve">, Сувар, </w:t>
      </w:r>
      <w:r>
        <w:rPr>
          <w:sz w:val="28"/>
          <w:szCs w:val="28"/>
        </w:rPr>
        <w:t>Джукетау и</w:t>
      </w:r>
      <w:r>
        <w:rPr>
          <w:color w:val="000000"/>
          <w:sz w:val="28"/>
          <w:szCs w:val="28"/>
        </w:rPr>
        <w:t xml:space="preserve"> Кашан, обозначить знаками</w:t>
      </w:r>
      <w:r>
        <w:rPr>
          <w:sz w:val="28"/>
          <w:szCs w:val="28"/>
        </w:rPr>
        <w:t xml:space="preserve"> все болгар-хазарские городища (в том числе и земли Восточной Украины)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восстановить в Уфе Третью и Шестую Джами мечети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/>
      </w:pPr>
      <w:bookmarkStart w:id="5" w:name="_heading=h.gjdgxs"/>
      <w:bookmarkEnd w:id="5"/>
      <w:r>
        <w:rPr>
          <w:sz w:val="28"/>
          <w:szCs w:val="28"/>
        </w:rPr>
        <w:t>в целях изучения материального наследия Волжской Булгарии продолжить проведение археологических экспедиций не только в Билярском и Булгарском городищах, но в других исторических местах, найти для этого финансирование и составить программу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восстановить старые кладбища в каждом регионе, где проживают татары</w:t>
      </w:r>
      <w:r>
        <w:rPr>
          <w:color w:val="000000"/>
          <w:sz w:val="28"/>
          <w:szCs w:val="28"/>
        </w:rPr>
        <w:t xml:space="preserve">: внести их в список </w:t>
      </w:r>
      <w:r>
        <w:rPr>
          <w:sz w:val="28"/>
          <w:szCs w:val="28"/>
        </w:rPr>
        <w:t>«памятников историко-культурного наследия»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создать</w:t>
      </w:r>
      <w:r>
        <w:rPr>
          <w:color w:val="000000"/>
          <w:sz w:val="28"/>
          <w:szCs w:val="28"/>
        </w:rPr>
        <w:t xml:space="preserve"> попе</w:t>
      </w:r>
      <w:r>
        <w:rPr>
          <w:sz w:val="28"/>
          <w:szCs w:val="28"/>
        </w:rPr>
        <w:t>чительские советы, внести надгробные надписи в единую информационную базу и реализовать систему отождествления их с метрическими книгами, реставрация старых надгробий, поставленных до XIX века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организовать тематические конкурсы, научные гранты, медиа-проекты, лектории (под названием «Небольшие думы о великом»), научные конференции в других регионах на тему </w:t>
      </w:r>
      <w:r>
        <w:rPr>
          <w:color w:val="000000"/>
          <w:sz w:val="28"/>
          <w:szCs w:val="28"/>
        </w:rPr>
        <w:t>«Исламс</w:t>
      </w:r>
      <w:r>
        <w:rPr>
          <w:sz w:val="28"/>
          <w:szCs w:val="28"/>
        </w:rPr>
        <w:t xml:space="preserve">кое наследие </w:t>
      </w:r>
      <w:r>
        <w:rPr>
          <w:color w:val="000000"/>
          <w:sz w:val="28"/>
          <w:szCs w:val="28"/>
        </w:rPr>
        <w:t xml:space="preserve">Болгарского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Хазарского государств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объявление результатов в рамках Болгарского джиена (собрания)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объявить Казанское Архиерейское городище общим татаро-русским, исламо-православным наследием, организовать тематический парк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в рамках Болгарского джиена (собрания) массовые экскурсии в городища Болгар,</w:t>
      </w:r>
      <w:r>
        <w:rPr>
          <w:color w:val="000000"/>
          <w:sz w:val="28"/>
          <w:szCs w:val="28"/>
        </w:rPr>
        <w:t xml:space="preserve"> Сувар, </w:t>
      </w:r>
      <w:r>
        <w:rPr>
          <w:sz w:val="28"/>
          <w:szCs w:val="28"/>
        </w:rPr>
        <w:t>Джукетау</w:t>
      </w:r>
      <w:r>
        <w:rPr>
          <w:color w:val="000000"/>
          <w:sz w:val="28"/>
          <w:szCs w:val="28"/>
        </w:rPr>
        <w:t>, Кашан;</w:t>
      </w:r>
    </w:p>
    <w:p>
      <w:pPr>
        <w:pStyle w:val="Normal"/>
        <w:numPr>
          <w:ilvl w:val="0"/>
          <w:numId w:val="2"/>
        </w:numPr>
        <w:pBdr/>
        <w:ind w:left="851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провести местные болгарские собрания в археологических городищах, расположенных за пределами Татарстана</w:t>
      </w:r>
      <w:r>
        <w:rPr>
          <w:rFonts w:eastAsia="Helvetica Neue" w:cs="Helvetica Neue" w:ascii="Helvetica Neue" w:hAnsi="Helvetica Neue"/>
          <w:color w:val="000000"/>
          <w:lang w:val="tt-RU"/>
        </w:rPr>
        <w:t>;</w:t>
      </w:r>
    </w:p>
    <w:p>
      <w:pPr>
        <w:pStyle w:val="ListParagraph"/>
        <w:pBdr/>
        <w:jc w:val="both"/>
        <w:rPr>
          <w:sz w:val="28"/>
          <w:szCs w:val="28"/>
          <w:lang w:val="tt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tt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Normal"/>
        <w:pBdr/>
        <w:tabs>
          <w:tab w:val="left" w:pos="1134" w:leader="none"/>
        </w:tabs>
        <w:ind w:left="426" w:hanging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Тауже принимать участие в мероприятиях, посвящённых празднованию 750-летия Золотой Орды и распростран</w:t>
      </w:r>
      <w:bookmarkStart w:id="6" w:name="_GoBack"/>
      <w:bookmarkEnd w:id="6"/>
      <w:r>
        <w:rPr>
          <w:sz w:val="28"/>
          <w:szCs w:val="28"/>
          <w:lang w:val="tt-RU"/>
        </w:rPr>
        <w:t>ить информацию по этому событию.</w:t>
      </w:r>
    </w:p>
    <w:p>
      <w:pPr>
        <w:pStyle w:val="Normal"/>
        <w:pBdr/>
        <w:tabs>
          <w:tab w:val="left" w:pos="1134" w:leader="none"/>
        </w:tabs>
        <w:ind w:left="426" w:hanging="0"/>
        <w:jc w:val="both"/>
        <w:rPr>
          <w:color w:val="FF0000"/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</w:r>
    </w:p>
    <w:p>
      <w:pPr>
        <w:pStyle w:val="Normal"/>
        <w:pBdr/>
        <w:tabs>
          <w:tab w:val="left" w:pos="1134" w:leader="none"/>
        </w:tabs>
        <w:ind w:left="42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по поводу празднования Стояния на р. Угре</w:t>
      </w:r>
    </w:p>
    <w:p>
      <w:pPr>
        <w:pStyle w:val="Normal"/>
        <w:pBdr/>
        <w:tabs>
          <w:tab w:val="left" w:pos="1134" w:leader="none"/>
        </w:tabs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>Уважаемые депутаты Гос</w:t>
      </w:r>
      <w:r>
        <w:rPr>
          <w:sz w:val="28"/>
          <w:szCs w:val="28"/>
          <w:lang w:val="tt-RU"/>
        </w:rPr>
        <w:t xml:space="preserve">ударственной </w:t>
      </w:r>
      <w:r>
        <w:rPr>
          <w:sz w:val="28"/>
          <w:szCs w:val="28"/>
        </w:rPr>
        <w:t xml:space="preserve">Думы </w:t>
      </w:r>
      <w:r>
        <w:rPr>
          <w:sz w:val="28"/>
          <w:szCs w:val="28"/>
          <w:lang w:val="tt-RU"/>
        </w:rPr>
        <w:t xml:space="preserve">Федерального Собрания </w:t>
      </w:r>
      <w:r>
        <w:rPr>
          <w:sz w:val="28"/>
          <w:szCs w:val="28"/>
        </w:rPr>
        <w:t xml:space="preserve">Российской Федерации, обращаемся к вам в связи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внесен</w:t>
      </w:r>
      <w:r>
        <w:rPr>
          <w:sz w:val="28"/>
          <w:szCs w:val="28"/>
        </w:rPr>
        <w:t xml:space="preserve">ием </w:t>
      </w:r>
      <w:r>
        <w:rPr>
          <w:sz w:val="28"/>
          <w:szCs w:val="28"/>
        </w:rPr>
        <w:t>законопроект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праздновании исторического события 1480 г., так называемого Стояния на Угре. </w:t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 xml:space="preserve">Стояние на Угре в 1480 г. был одним из многочисленных эпизодов взаимоотношений между Большой Орды – одного из татарских государств, образованных после распада Золотой Орды, – и Московского княжества.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ичем особенным в череде подобных событий оно не выделяется. 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олее того, современные российские историки вообще не считают значимым событием достойным особого внимания, отнеся его к разряду обычных для времени военных стычек с минимальными жертвами. Впервые об этой стычке как важном событии упоминал лишь Карамзин. До </w:t>
      </w:r>
      <w:r>
        <w:rPr>
          <w:sz w:val="28"/>
          <w:szCs w:val="28"/>
        </w:rPr>
        <w:t xml:space="preserve">него в </w:t>
      </w:r>
      <w:r>
        <w:rPr>
          <w:sz w:val="28"/>
          <w:szCs w:val="28"/>
        </w:rPr>
        <w:t>известных исторических источник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Московского государства </w:t>
      </w:r>
      <w:r>
        <w:rPr>
          <w:sz w:val="28"/>
          <w:szCs w:val="28"/>
          <w:lang w:val="tt-RU"/>
        </w:rPr>
        <w:t xml:space="preserve">ему не </w:t>
      </w:r>
      <w:r>
        <w:rPr>
          <w:sz w:val="28"/>
          <w:szCs w:val="28"/>
          <w:lang w:val="ru-RU"/>
        </w:rPr>
        <w:t>уделялось большого внимания</w:t>
      </w:r>
      <w:r>
        <w:rPr>
          <w:sz w:val="28"/>
          <w:szCs w:val="28"/>
        </w:rPr>
        <w:t xml:space="preserve">. </w:t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 xml:space="preserve">Дореволюционные историки, во многом преувеличивавшие значение этого события, говорят о нем, как о конце «монголо-татарского ига» над русскими землями. Это обусловлено необходимостью оправдать и подкрепить господствовавшую тогда имперскую идеологию, сейчас же мы все живем в федеративном государстве, где права и положение всех народов равны согласно Конституции Российской Федерации.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овременными историками уже принято считать, что никакого «ига» на самом деле не было, русские княжества являлись полноправной частью Золотой Орды, сохраняя при этом внутреннее самоуправление.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ся зависимость русских княжеств заключалась в выплате 10-процентного налога, что, конечно же, никаким обременением считаться не может. К тому же в период нахождения русских княжеств внутри Золотой Орды прекратились внутренние междоусобицы, в результате которых страдало население этих территорий, де-факто независимые княжества были объединены в одно государство, Русская Православная церковь была освобождена от всех налогов и, получив поддержку покровительство Золотой Орды, переживала период своего расцвета. </w:t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 xml:space="preserve">То есть никакой исторической важности </w:t>
      </w:r>
      <w:r>
        <w:rPr>
          <w:sz w:val="28"/>
          <w:szCs w:val="28"/>
        </w:rPr>
        <w:t xml:space="preserve">у этого события нет, как и нет </w:t>
      </w:r>
      <w:r>
        <w:rPr>
          <w:sz w:val="28"/>
          <w:szCs w:val="28"/>
        </w:rPr>
        <w:t xml:space="preserve">необходимости широко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отмечать. Вместе с тем большое внимание к этому событию, тем более его празднование на федеральном уровне неизбежно создаст очередной очаг раскола внутри многонационального российского общества, противопоставив русских против татар и других тюркских народов страны (крымских татар, башкир, чувашей, кумыков, ногайцев, якутов, алтайцев и т.д.) . </w:t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 xml:space="preserve">Это, по нашему мнению, недопустимый шаг, так как исторические события,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  <w:lang w:val="ru-RU"/>
        </w:rPr>
        <w:t>праздную</w:t>
      </w:r>
      <w:r>
        <w:rPr>
          <w:sz w:val="28"/>
          <w:szCs w:val="28"/>
          <w:lang w:val="tt-RU"/>
        </w:rPr>
        <w:t>тс</w:t>
      </w: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государственном уровне, должны объединять, а не разъединять народы многонациональной России.</w:t>
      </w:r>
    </w:p>
    <w:p>
      <w:pPr>
        <w:pStyle w:val="Normal"/>
        <w:pBdr/>
        <w:tabs>
          <w:tab w:val="left" w:pos="1134" w:leader="none"/>
        </w:tabs>
        <w:ind w:left="426" w:firstLine="708"/>
        <w:jc w:val="both"/>
        <w:rPr/>
      </w:pPr>
      <w:r>
        <w:rPr>
          <w:sz w:val="28"/>
          <w:szCs w:val="28"/>
        </w:rPr>
        <w:t xml:space="preserve">Проголосовав за данный законопроект, вы </w:t>
      </w:r>
      <w:r>
        <w:rPr>
          <w:sz w:val="28"/>
          <w:szCs w:val="28"/>
        </w:rPr>
        <w:t>станете теми людьми</w:t>
      </w:r>
      <w:r>
        <w:rPr>
          <w:sz w:val="28"/>
          <w:szCs w:val="28"/>
        </w:rPr>
        <w:t>, которые на пустом месте создали конфликтогенную ситуацию и унизили татарский народ, являющийся вторым по численности народом в России. Надеемся на ваше благоразумие.</w:t>
      </w:r>
    </w:p>
    <w:p>
      <w:pPr>
        <w:pStyle w:val="Normal"/>
        <w:pBdr/>
        <w:tabs>
          <w:tab w:val="left" w:pos="1134" w:leader="none"/>
        </w:tabs>
        <w:ind w:left="426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09" w:right="849" w:header="709" w:top="766" w:footer="850" w:bottom="90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 w:cs="Noto Sans Symbols" w:hint="default"/>
        <w:sz w:val="28"/>
        <w:rFonts w:cs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 w:cs="Noto Sans Symbols" w:hint="default"/>
        <w:sz w:val="28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Заголовок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Заголовок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Заголовок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u w:val="single"/>
    </w:rPr>
  </w:style>
  <w:style w:type="character" w:styleId="ListLabel1">
    <w:name w:val="ListLabel 1"/>
    <w:qFormat/>
    <w:rPr>
      <w:rFonts w:ascii="Helvetica Neue" w:hAnsi="Helvetica Neue" w:eastAsia="Noto Sans Symbols" w:cs="Noto Sans Symbols"/>
      <w:sz w:val="28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Основной текст"/>
    <w:basedOn w:val="Normal"/>
    <w:pPr>
      <w:widowControl/>
      <w:bidi w:val="0"/>
      <w:jc w:val="left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yle11">
    <w:name w:val="Список"/>
    <w:basedOn w:val="Style10"/>
    <w:pPr/>
    <w:rPr>
      <w:rFonts w:cs="Mangal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Заглавие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yle15" w:customStyle="1">
    <w:name w:val="По умолчанию"/>
    <w:qFormat/>
    <w:pPr>
      <w:widowControl/>
      <w:bidi w:val="0"/>
      <w:jc w:val="left"/>
    </w:pPr>
    <w:rPr>
      <w:rFonts w:ascii="Helvetica Neue" w:hAnsi="Helvetica Neue" w:cs="Arial Unicode MS" w:eastAsia="Times New Roman"/>
      <w:color w:val="000000"/>
      <w:sz w:val="22"/>
      <w:szCs w:val="22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16">
    <w:name w:val="Подзаголовок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06b5"/>
    <w:pPr>
      <w:spacing w:before="0" w:after="0"/>
      <w:ind w:left="720" w:hanging="0"/>
      <w:contextualSpacing/>
    </w:pPr>
    <w:rPr/>
  </w:style>
  <w:style w:type="paragraph" w:styleId="Style17">
    <w:name w:val="Верхний колонтитул"/>
    <w:basedOn w:val="Normal"/>
    <w:pPr/>
    <w:rPr/>
  </w:style>
  <w:style w:type="paragraph" w:styleId="Style18">
    <w:name w:val="Нижний колонтитул"/>
    <w:basedOn w:val="Normal"/>
    <w:pPr/>
    <w:rPr/>
  </w:style>
  <w:style w:type="paragraph" w:styleId="Style19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Style20" w:customStyle="1">
    <w:name w:val="Тире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h/40wX7uCR2444RJJaEcrU3v2Q==">AMUW2mUpY7JHzW58Gmv+UwavMAx0CDPr7fAjGSBGR7MQWYum1PhlmfBqquJy4OtauYki7rrBq5XqAVdcmkt8cAHrC2uQLpv8O8Jd2a9ihTS5zysqn6O8eGWc/Rge8AdAFztYI20umUmN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LibreOffice/5.0.0.5$Windows_x86 LibreOffice_project/1b1a90865e348b492231e1c451437d7a15bb262b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2019-08-24T21:04:00Z</dcterms:created>
  <dc:language>ru-RU</dc:language>
  <dcterms:modified xsi:type="dcterms:W3CDTF">2019-09-05T22:00:19Z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